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DFF" w:rsidRDefault="00EA292E" w:rsidP="00EA292E">
      <w:pPr>
        <w:pStyle w:val="Heading1"/>
        <w:spacing w:before="0"/>
      </w:pPr>
      <w:bookmarkStart w:id="0" w:name="ChapterTitle"/>
      <w:r>
        <w:t>Transition code notes</w:t>
      </w:r>
      <w:bookmarkEnd w:id="0"/>
    </w:p>
    <w:p w:rsidR="00EA292E" w:rsidRDefault="00EA292E" w:rsidP="00120072">
      <w:pPr>
        <w:pStyle w:val="BodyText"/>
      </w:pPr>
      <w:bookmarkStart w:id="1" w:name="begin"/>
      <w:bookmarkEnd w:id="1"/>
      <w:r>
        <w:t xml:space="preserve">The purpose of this document is to note the input files and code that are needed to replicate the results in Appendix F of the Productivity Commission’s </w:t>
      </w:r>
      <w:r>
        <w:rPr>
          <w:i/>
        </w:rPr>
        <w:t xml:space="preserve">Horizontal Fiscal Equalisation </w:t>
      </w:r>
      <w:r>
        <w:t>final report, and to detail the variable names that are used in the calculations.</w:t>
      </w:r>
    </w:p>
    <w:p w:rsidR="00EA292E" w:rsidRDefault="00EA292E" w:rsidP="00EA292E">
      <w:pPr>
        <w:pStyle w:val="Heading3"/>
      </w:pPr>
      <w:r>
        <w:t xml:space="preserve">Input files and code </w:t>
      </w:r>
    </w:p>
    <w:p w:rsidR="00EA292E" w:rsidRDefault="00EA292E" w:rsidP="00EA292E">
      <w:pPr>
        <w:pStyle w:val="BodyText"/>
      </w:pPr>
      <w:r>
        <w:t>There are seven input f</w:t>
      </w:r>
      <w:r w:rsidR="00661196">
        <w:t>iles each in the *.xlsx format. Details of projection methodology can be found in Appendix F.</w:t>
      </w:r>
    </w:p>
    <w:p w:rsidR="00666E02" w:rsidRDefault="00EA292E" w:rsidP="00EA292E">
      <w:pPr>
        <w:pStyle w:val="ListBullet"/>
      </w:pPr>
      <w:r>
        <w:t xml:space="preserve">‘Average relativites.xlsx’ – contains current </w:t>
      </w:r>
      <w:r w:rsidR="00661196">
        <w:t xml:space="preserve">and </w:t>
      </w:r>
      <w:r>
        <w:t>projected relativities for each State between 2018-19 to 2026-27</w:t>
      </w:r>
      <w:r w:rsidR="00DC3848">
        <w:t xml:space="preserve"> </w:t>
      </w:r>
      <w:r w:rsidR="000D1679">
        <w:t xml:space="preserve">using the current benchmark, </w:t>
      </w:r>
      <w:r w:rsidR="00661196">
        <w:t>where projected relativities are an average of relativity forecasts from</w:t>
      </w:r>
      <w:bookmarkStart w:id="2" w:name="_GoBack"/>
      <w:bookmarkEnd w:id="2"/>
      <w:r w:rsidR="00661196">
        <w:t xml:space="preserve"> contributing State Treasuries</w:t>
      </w:r>
      <w:r w:rsidR="000D1679">
        <w:t xml:space="preserve">. Also contains </w:t>
      </w:r>
      <w:r w:rsidR="00DC3848">
        <w:t>a relativity code (‘A’)</w:t>
      </w:r>
      <w:r w:rsidR="000D1679">
        <w:t>.</w:t>
      </w:r>
    </w:p>
    <w:p w:rsidR="00EA292E" w:rsidRDefault="00EA292E" w:rsidP="00EA292E">
      <w:pPr>
        <w:pStyle w:val="ListBullet"/>
      </w:pPr>
      <w:r>
        <w:t>‘Long-term relativities.xlsx’ - contains current</w:t>
      </w:r>
      <w:r w:rsidR="00661196">
        <w:t xml:space="preserve"> and</w:t>
      </w:r>
      <w:r>
        <w:t xml:space="preserve"> projected relativities for each State between 2018-19 to 2026-27</w:t>
      </w:r>
      <w:r w:rsidR="00DC3848">
        <w:t xml:space="preserve"> </w:t>
      </w:r>
      <w:r w:rsidR="000D1679">
        <w:t xml:space="preserve">using the current benchmark, </w:t>
      </w:r>
      <w:r w:rsidR="00661196">
        <w:t>where projected relativities are assumed to return to their long run averages in the first period after the forward estimates</w:t>
      </w:r>
      <w:r w:rsidR="000D1679">
        <w:t xml:space="preserve">. Also contains </w:t>
      </w:r>
      <w:r w:rsidR="00DC3848">
        <w:t>a relativity code (‘L’)</w:t>
      </w:r>
      <w:r w:rsidR="000D1679">
        <w:t>.</w:t>
      </w:r>
    </w:p>
    <w:p w:rsidR="00661196" w:rsidRDefault="00661196" w:rsidP="00EA292E">
      <w:pPr>
        <w:pStyle w:val="ListBullet"/>
      </w:pPr>
      <w:r>
        <w:t>‘Current relativities.xlsx’ - contains current and projected relativities for each State between 2018-19 to 2026-27</w:t>
      </w:r>
      <w:r w:rsidR="00DC3848">
        <w:t xml:space="preserve"> </w:t>
      </w:r>
      <w:r w:rsidR="000D1679">
        <w:t xml:space="preserve">using the current benchmark, </w:t>
      </w:r>
      <w:r>
        <w:t>where projected relativities are assumed to stay at their current levels for the entir</w:t>
      </w:r>
      <w:r w:rsidR="00DC3848">
        <w:t>e period</w:t>
      </w:r>
      <w:r w:rsidR="000D1679">
        <w:t xml:space="preserve">. Also contains a relativity code </w:t>
      </w:r>
      <w:r w:rsidR="00DC3848">
        <w:t>(‘C’)</w:t>
      </w:r>
      <w:r w:rsidR="000D1679">
        <w:t>.</w:t>
      </w:r>
    </w:p>
    <w:p w:rsidR="00661196" w:rsidRDefault="00661196" w:rsidP="00EA292E">
      <w:pPr>
        <w:pStyle w:val="ListBullet"/>
      </w:pPr>
      <w:r>
        <w:t>‘Central GST pool.xlsx’ – contains projected GST pool amounts (in $ millions) for the period 2018-19 to 2026-27</w:t>
      </w:r>
      <w:r w:rsidR="000D1679">
        <w:t xml:space="preserve">. Also contains </w:t>
      </w:r>
      <w:r w:rsidR="00DC3848">
        <w:t>a pool code (‘C’)</w:t>
      </w:r>
      <w:r w:rsidR="000D1679">
        <w:t>.</w:t>
      </w:r>
    </w:p>
    <w:p w:rsidR="00661196" w:rsidRDefault="00661196" w:rsidP="00EA292E">
      <w:pPr>
        <w:pStyle w:val="ListBullet"/>
      </w:pPr>
      <w:r>
        <w:t>‘MYEFO populations.xlsx’ – contains projected population estimates (in millions) for each State for the period 2018-19 to 2026-27</w:t>
      </w:r>
      <w:r w:rsidR="000D1679">
        <w:t xml:space="preserve">. Also contains </w:t>
      </w:r>
      <w:r w:rsidR="00DC3848">
        <w:t>a population code (‘M’)</w:t>
      </w:r>
      <w:r>
        <w:t>.</w:t>
      </w:r>
    </w:p>
    <w:p w:rsidR="00661196" w:rsidRDefault="00661196" w:rsidP="00EA292E">
      <w:pPr>
        <w:pStyle w:val="ListBullet"/>
      </w:pPr>
      <w:r>
        <w:t>‘state_rev.xlsx’ – contains historical and projected State revenues for the period 2000-01 to 2020-21</w:t>
      </w:r>
      <w:r w:rsidR="000D1679">
        <w:t>.</w:t>
      </w:r>
    </w:p>
    <w:p w:rsidR="00661196" w:rsidRDefault="00661196" w:rsidP="00EA292E">
      <w:pPr>
        <w:pStyle w:val="ListBullet"/>
      </w:pPr>
      <w:r>
        <w:t>‘gst_payments.xlsx’ – contains historical GST payments to each State between 2000-01 and 2017-18.</w:t>
      </w:r>
    </w:p>
    <w:p w:rsidR="00680D14" w:rsidRDefault="00680D14">
      <w:pPr>
        <w:rPr>
          <w:rFonts w:ascii="Arial" w:hAnsi="Arial"/>
          <w:b/>
          <w:sz w:val="26"/>
          <w:szCs w:val="20"/>
        </w:rPr>
      </w:pPr>
      <w:r>
        <w:br w:type="page"/>
      </w:r>
    </w:p>
    <w:p w:rsidR="00661196" w:rsidRDefault="00DE74CF" w:rsidP="00DE74CF">
      <w:pPr>
        <w:pStyle w:val="Heading3"/>
      </w:pPr>
      <w:r>
        <w:t>Structure of R code</w:t>
      </w:r>
    </w:p>
    <w:p w:rsidR="00DE74CF" w:rsidRDefault="00DE74CF" w:rsidP="00DE74CF">
      <w:pPr>
        <w:pStyle w:val="BodyText"/>
      </w:pPr>
      <w:r>
        <w:t xml:space="preserve">The code is in five short sections. </w:t>
      </w:r>
    </w:p>
    <w:p w:rsidR="00DE74CF" w:rsidRDefault="00DE74CF" w:rsidP="00DE74CF">
      <w:pPr>
        <w:pStyle w:val="ListBullet"/>
      </w:pPr>
      <w:r>
        <w:t>The first section (lines 11 to 37) reads in data</w:t>
      </w:r>
      <w:r w:rsidR="004B1EC9">
        <w:t xml:space="preserve"> from the input sheets</w:t>
      </w:r>
      <w:r>
        <w:t xml:space="preserve"> and combines </w:t>
      </w:r>
      <w:r w:rsidR="004B1EC9">
        <w:t>it into</w:t>
      </w:r>
      <w:r>
        <w:t xml:space="preserve"> a single data frame</w:t>
      </w:r>
      <w:r w:rsidR="00EA08BC">
        <w:t xml:space="preserve"> named ‘data’</w:t>
      </w:r>
      <w:r>
        <w:t>.</w:t>
      </w:r>
      <w:r w:rsidR="00EA08BC">
        <w:t xml:space="preserve"> The data is stored in a long format, where each combination of</w:t>
      </w:r>
      <w:r w:rsidR="00580088">
        <w:t xml:space="preserve"> input</w:t>
      </w:r>
      <w:r w:rsidR="00EA08BC">
        <w:t xml:space="preserve"> variables (State,</w:t>
      </w:r>
      <w:r w:rsidR="00580088">
        <w:t xml:space="preserve"> year,</w:t>
      </w:r>
      <w:r w:rsidR="00EA08BC">
        <w:t xml:space="preserve"> relativity</w:t>
      </w:r>
      <w:r w:rsidR="00580088">
        <w:t xml:space="preserve"> projection methodology,</w:t>
      </w:r>
      <w:r w:rsidR="00EA08BC">
        <w:t xml:space="preserve"> and transition period) is stored in a separate row. </w:t>
      </w:r>
      <w:r w:rsidR="00580088">
        <w:t xml:space="preserve">For example, the data for NSW (State), in the year 2020 (year), using average relativities (relativity projection methodology) and a four year transition (transition period) is stored in a single row. All calculations in this row </w:t>
      </w:r>
      <w:r w:rsidR="004B1EC9">
        <w:t>then</w:t>
      </w:r>
      <w:r w:rsidR="00580088">
        <w:t xml:space="preserve"> relate to that combination of input variables.  </w:t>
      </w:r>
    </w:p>
    <w:p w:rsidR="00DE74CF" w:rsidRDefault="00DE74CF" w:rsidP="00DE74CF">
      <w:pPr>
        <w:pStyle w:val="ListBullet"/>
      </w:pPr>
      <w:r>
        <w:t>The second section (lines 41 to 50) calculates GST payments under the current standard. Each step in the calculation is stored as a new variable in the data frame.</w:t>
      </w:r>
    </w:p>
    <w:p w:rsidR="00DE74CF" w:rsidRDefault="00DE74CF" w:rsidP="00DE74CF">
      <w:pPr>
        <w:pStyle w:val="ListBullet"/>
      </w:pPr>
      <w:r>
        <w:t xml:space="preserve">The third section </w:t>
      </w:r>
      <w:r w:rsidR="00731891">
        <w:t>(lines 56 to 73</w:t>
      </w:r>
      <w:r>
        <w:t>) projects non-GST revenue for the period 2018-19 to 2026-27 and adds this to the data frame.</w:t>
      </w:r>
    </w:p>
    <w:p w:rsidR="00DE74CF" w:rsidRDefault="00DE74CF" w:rsidP="00DE74CF">
      <w:pPr>
        <w:pStyle w:val="ListBullet"/>
      </w:pPr>
      <w:r>
        <w:t>The fourth section (lines 7</w:t>
      </w:r>
      <w:r w:rsidR="00D85A4B">
        <w:t>9 to 105</w:t>
      </w:r>
      <w:r>
        <w:t>) calculates GST payments under the new standard</w:t>
      </w:r>
      <w:r w:rsidR="004B1EC9">
        <w:t>, and calculates relevant indicators for Appendix F</w:t>
      </w:r>
      <w:r w:rsidR="005B72D7">
        <w:t>. It also sets the standard to be equalised to in the variable ‘standard’ (line 7</w:t>
      </w:r>
      <w:r w:rsidR="00D85A4B">
        <w:t>9</w:t>
      </w:r>
      <w:r w:rsidR="005B72D7">
        <w:t>). This is set to 1 for ETA but a</w:t>
      </w:r>
      <w:r>
        <w:t xml:space="preserve">ny </w:t>
      </w:r>
      <w:r w:rsidR="005B72D7">
        <w:t>standard can be chosen here</w:t>
      </w:r>
      <w:r>
        <w:t>. Each step in the calculation is stored as a new variable in the data frame.</w:t>
      </w:r>
    </w:p>
    <w:p w:rsidR="00DE74CF" w:rsidRPr="00DE74CF" w:rsidRDefault="00DE74CF" w:rsidP="00DE74CF">
      <w:pPr>
        <w:pStyle w:val="ListBullet"/>
      </w:pPr>
      <w:r>
        <w:t xml:space="preserve">The fifth section (lines </w:t>
      </w:r>
      <w:r w:rsidR="00D85A4B">
        <w:t>111 to 113</w:t>
      </w:r>
      <w:r w:rsidR="00EA08BC">
        <w:t xml:space="preserve">) </w:t>
      </w:r>
      <w:r w:rsidR="004B1EC9">
        <w:t>simply extracts any</w:t>
      </w:r>
      <w:r w:rsidR="00EA08BC">
        <w:t xml:space="preserve"> data of interest. </w:t>
      </w:r>
    </w:p>
    <w:p w:rsidR="00661196" w:rsidRDefault="00EA08BC" w:rsidP="00EA08BC">
      <w:pPr>
        <w:pStyle w:val="Heading3"/>
      </w:pPr>
      <w:r>
        <w:t>Variable names</w:t>
      </w:r>
    </w:p>
    <w:p w:rsidR="00EA08BC" w:rsidRDefault="00EA08BC" w:rsidP="00677B06">
      <w:pPr>
        <w:pStyle w:val="BodyText"/>
      </w:pPr>
      <w:r>
        <w:t xml:space="preserve">After running all lines of code the ‘data’ data frame has the following 36 variable names. </w:t>
      </w:r>
    </w:p>
    <w:p w:rsidR="00677B06" w:rsidRDefault="00677B06" w:rsidP="00677B06">
      <w:pPr>
        <w:pStyle w:val="BoxSpaceAbove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  <w:tblDescription w:val="Table used for design: contains a nested table with data/information."/>
      </w:tblPr>
      <w:tblGrid>
        <w:gridCol w:w="8789"/>
      </w:tblGrid>
      <w:tr w:rsidR="00EA08BC" w:rsidTr="00750BE2">
        <w:trPr>
          <w:tblHeader/>
        </w:trPr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EA08BC" w:rsidRPr="00784A05" w:rsidRDefault="00EA08BC" w:rsidP="009B5CB2">
            <w:pPr>
              <w:pStyle w:val="TableTitle"/>
            </w:pPr>
            <w:r>
              <w:rPr>
                <w:b w:val="0"/>
              </w:rPr>
              <w:t>Table</w:t>
            </w:r>
            <w:r w:rsidR="009B5CB2">
              <w:rPr>
                <w:b w:val="0"/>
              </w:rPr>
              <w:t xml:space="preserve"> 1</w:t>
            </w:r>
            <w:r>
              <w:tab/>
              <w:t>Variable names</w:t>
            </w:r>
          </w:p>
        </w:tc>
      </w:tr>
      <w:tr w:rsidR="00EA08BC" w:rsidTr="005B138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60"/>
              <w:gridCol w:w="5845"/>
            </w:tblGrid>
            <w:tr w:rsidR="00EA08BC" w:rsidTr="00CF4ADA">
              <w:trPr>
                <w:tblHeader/>
              </w:trPr>
              <w:tc>
                <w:tcPr>
                  <w:tcW w:w="1564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EA08BC" w:rsidRDefault="00EA08BC" w:rsidP="00846637">
                  <w:pPr>
                    <w:pStyle w:val="TableColumnHeading"/>
                    <w:jc w:val="left"/>
                  </w:pPr>
                  <w:r>
                    <w:t>Name</w:t>
                  </w:r>
                </w:p>
              </w:tc>
              <w:tc>
                <w:tcPr>
                  <w:tcW w:w="3436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EA08BC" w:rsidRDefault="00EA08BC" w:rsidP="00EA08BC">
                  <w:pPr>
                    <w:pStyle w:val="TableColumnHeading"/>
                    <w:ind w:right="28"/>
                    <w:jc w:val="left"/>
                  </w:pPr>
                  <w:r>
                    <w:t>Description</w:t>
                  </w:r>
                </w:p>
              </w:tc>
            </w:tr>
            <w:tr w:rsidR="00DC3848" w:rsidTr="00CF4ADA">
              <w:tc>
                <w:tcPr>
                  <w:tcW w:w="5000" w:type="pct"/>
                  <w:gridSpan w:val="2"/>
                  <w:tcBorders>
                    <w:top w:val="single" w:sz="6" w:space="0" w:color="BFBFBF"/>
                  </w:tcBorders>
                  <w:shd w:val="clear" w:color="auto" w:fill="D9D9D9" w:themeFill="background1" w:themeFillShade="D9"/>
                </w:tcPr>
                <w:p w:rsidR="00DC3848" w:rsidRDefault="00DC3848" w:rsidP="009B5CB2">
                  <w:pPr>
                    <w:pStyle w:val="TableUnitsRow"/>
                    <w:ind w:right="28"/>
                    <w:jc w:val="left"/>
                  </w:pPr>
                  <w:r>
                    <w:t>Variables from input sheets</w:t>
                  </w:r>
                </w:p>
              </w:tc>
            </w:tr>
            <w:tr w:rsidR="00DC3848" w:rsidTr="00CF4ADA">
              <w:tc>
                <w:tcPr>
                  <w:tcW w:w="1564" w:type="pct"/>
                </w:tcPr>
                <w:p w:rsidR="00DC3848" w:rsidRDefault="00DC3848" w:rsidP="00DC3848">
                  <w:pPr>
                    <w:pStyle w:val="TableUnitsRow"/>
                    <w:jc w:val="left"/>
                  </w:pPr>
                  <w:r>
                    <w:t>YEAR</w:t>
                  </w:r>
                </w:p>
              </w:tc>
              <w:tc>
                <w:tcPr>
                  <w:tcW w:w="3436" w:type="pct"/>
                </w:tcPr>
                <w:p w:rsidR="00DC3848" w:rsidRDefault="00DC3848" w:rsidP="00DC3848">
                  <w:pPr>
                    <w:pStyle w:val="TableUnitsRow"/>
                    <w:ind w:right="28"/>
                    <w:jc w:val="left"/>
                  </w:pPr>
                  <w:r w:rsidRPr="00EA08BC">
                    <w:t>Years are the start of the financial year. For example year 2008 refers to the 2008-09 financial year.</w:t>
                  </w:r>
                </w:p>
              </w:tc>
            </w:tr>
            <w:tr w:rsidR="00DC3848" w:rsidTr="009B5CB2">
              <w:tc>
                <w:tcPr>
                  <w:tcW w:w="1564" w:type="pct"/>
                </w:tcPr>
                <w:p w:rsidR="00DC3848" w:rsidRDefault="00DC3848" w:rsidP="00DC3848">
                  <w:pPr>
                    <w:pStyle w:val="TableBodyText"/>
                    <w:jc w:val="left"/>
                  </w:pPr>
                  <w:r>
                    <w:t>STATE</w:t>
                  </w:r>
                </w:p>
              </w:tc>
              <w:tc>
                <w:tcPr>
                  <w:tcW w:w="3436" w:type="pct"/>
                </w:tcPr>
                <w:p w:rsidR="00DC3848" w:rsidRDefault="00DC3848" w:rsidP="00DC3848">
                  <w:pPr>
                    <w:pStyle w:val="TableBodyText"/>
                    <w:ind w:right="28"/>
                    <w:jc w:val="left"/>
                  </w:pPr>
                  <w:r>
                    <w:t>Each State coded as  NSW, VIC, QLD, WA, SA, TAS, ACT, NT</w:t>
                  </w:r>
                </w:p>
              </w:tc>
            </w:tr>
            <w:tr w:rsidR="00DC3848" w:rsidTr="009B5CB2">
              <w:tc>
                <w:tcPr>
                  <w:tcW w:w="1564" w:type="pct"/>
                </w:tcPr>
                <w:p w:rsidR="00DC3848" w:rsidRDefault="00DC3848" w:rsidP="00DC3848">
                  <w:pPr>
                    <w:pStyle w:val="TableBodyText"/>
                    <w:jc w:val="left"/>
                  </w:pPr>
                  <w:r>
                    <w:t>REL</w:t>
                  </w:r>
                </w:p>
              </w:tc>
              <w:tc>
                <w:tcPr>
                  <w:tcW w:w="3436" w:type="pct"/>
                </w:tcPr>
                <w:p w:rsidR="00DC3848" w:rsidRDefault="00DC3848" w:rsidP="00DC3848">
                  <w:pPr>
                    <w:pStyle w:val="TableBodyText"/>
                    <w:ind w:right="28"/>
                    <w:jc w:val="left"/>
                  </w:pPr>
                  <w:r>
                    <w:t>The projected relativity for the year under the current benchmark</w:t>
                  </w:r>
                </w:p>
              </w:tc>
            </w:tr>
            <w:tr w:rsidR="00DC3848" w:rsidTr="009B5CB2">
              <w:tc>
                <w:tcPr>
                  <w:tcW w:w="1564" w:type="pct"/>
                </w:tcPr>
                <w:p w:rsidR="00DC3848" w:rsidRDefault="00DC3848" w:rsidP="00DC3848">
                  <w:pPr>
                    <w:pStyle w:val="TableBodyText"/>
                    <w:jc w:val="left"/>
                  </w:pPr>
                  <w:r>
                    <w:t>RELCODE</w:t>
                  </w:r>
                </w:p>
              </w:tc>
              <w:tc>
                <w:tcPr>
                  <w:tcW w:w="3436" w:type="pct"/>
                </w:tcPr>
                <w:p w:rsidR="00DC3848" w:rsidRDefault="00DC3848" w:rsidP="00DC3848">
                  <w:pPr>
                    <w:pStyle w:val="TableBodyText"/>
                    <w:ind w:right="28"/>
                    <w:jc w:val="left"/>
                  </w:pPr>
                  <w:r>
                    <w:t xml:space="preserve">The projection methodology used to calculate the relativity contained in REL. </w:t>
                  </w:r>
                </w:p>
              </w:tc>
            </w:tr>
            <w:tr w:rsidR="00DC3848" w:rsidTr="009B5CB2">
              <w:tc>
                <w:tcPr>
                  <w:tcW w:w="1564" w:type="pct"/>
                </w:tcPr>
                <w:p w:rsidR="00DC3848" w:rsidRDefault="00DC3848" w:rsidP="00DC3848">
                  <w:pPr>
                    <w:pStyle w:val="TableBodyText"/>
                    <w:jc w:val="left"/>
                  </w:pPr>
                  <w:r>
                    <w:t>POP</w:t>
                  </w:r>
                </w:p>
              </w:tc>
              <w:tc>
                <w:tcPr>
                  <w:tcW w:w="3436" w:type="pct"/>
                </w:tcPr>
                <w:p w:rsidR="00DC3848" w:rsidRDefault="00DC3848" w:rsidP="00DC3848">
                  <w:pPr>
                    <w:pStyle w:val="TableBodyText"/>
                    <w:ind w:right="28"/>
                    <w:jc w:val="left"/>
                  </w:pPr>
                  <w:r>
                    <w:t>The projected population for the state in the given year</w:t>
                  </w:r>
                </w:p>
              </w:tc>
            </w:tr>
            <w:tr w:rsidR="00677B06" w:rsidTr="009B5CB2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POPCODE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The projection methodology used to calculate the relativity contained in POP.</w:t>
                  </w:r>
                </w:p>
              </w:tc>
            </w:tr>
            <w:tr w:rsidR="00677B06" w:rsidTr="009B5CB2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r>
                    <w:t>POOL</w:t>
                  </w:r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 xml:space="preserve">The projected GST pool size for the given year </w:t>
                  </w:r>
                </w:p>
              </w:tc>
            </w:tr>
            <w:tr w:rsidR="00677B06" w:rsidTr="009B5CB2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POOLCODE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The projection methodology used to calculate the pool contained in POOL.</w:t>
                  </w:r>
                </w:p>
              </w:tc>
            </w:tr>
            <w:tr w:rsidR="00677B06" w:rsidTr="009B5CB2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REV_NONGST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Non-GST revenue for the State (part of this is calculated in the code)</w:t>
                  </w:r>
                </w:p>
              </w:tc>
            </w:tr>
            <w:tr w:rsidR="00677B06" w:rsidRPr="00680D14" w:rsidTr="00CF4ADA">
              <w:tc>
                <w:tcPr>
                  <w:tcW w:w="1564" w:type="pct"/>
                  <w:tcBorders>
                    <w:bottom w:val="single" w:sz="4" w:space="0" w:color="BFBFBF" w:themeColor="background1" w:themeShade="BF"/>
                  </w:tcBorders>
                </w:tcPr>
                <w:p w:rsidR="00677B06" w:rsidRDefault="00677B06" w:rsidP="00677B06">
                  <w:pPr>
                    <w:pStyle w:val="Continued"/>
                  </w:pPr>
                </w:p>
              </w:tc>
              <w:tc>
                <w:tcPr>
                  <w:tcW w:w="3436" w:type="pct"/>
                  <w:tcBorders>
                    <w:bottom w:val="single" w:sz="4" w:space="0" w:color="BFBFBF" w:themeColor="background1" w:themeShade="BF"/>
                  </w:tcBorders>
                </w:tcPr>
                <w:p w:rsidR="00677B06" w:rsidRPr="00680D14" w:rsidRDefault="00677B06" w:rsidP="00677B06">
                  <w:pPr>
                    <w:pStyle w:val="Continued"/>
                  </w:pPr>
                  <w:r w:rsidRPr="00680D14">
                    <w:t>(continued</w:t>
                  </w:r>
                  <w:r>
                    <w:t xml:space="preserve"> next page</w:t>
                  </w:r>
                  <w:r w:rsidRPr="00680D14">
                    <w:t>)</w:t>
                  </w:r>
                </w:p>
              </w:tc>
            </w:tr>
          </w:tbl>
          <w:p w:rsidR="00EA08BC" w:rsidRDefault="00EA08BC" w:rsidP="00846637">
            <w:pPr>
              <w:pStyle w:val="Box"/>
            </w:pPr>
          </w:p>
        </w:tc>
      </w:tr>
      <w:tr w:rsidR="00EA08BC" w:rsidTr="005B1382">
        <w:tc>
          <w:tcPr>
            <w:tcW w:w="5000" w:type="pct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EA08BC" w:rsidRDefault="00EA08BC" w:rsidP="00846637">
            <w:pPr>
              <w:pStyle w:val="Box"/>
              <w:spacing w:before="0" w:line="120" w:lineRule="exact"/>
            </w:pPr>
          </w:p>
        </w:tc>
      </w:tr>
      <w:tr w:rsidR="00EA08BC" w:rsidRPr="000863A5" w:rsidTr="005B1382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EA08BC" w:rsidRPr="00626D32" w:rsidRDefault="00EA08BC" w:rsidP="00784A05">
            <w:pPr>
              <w:pStyle w:val="BoxSpaceBelow"/>
            </w:pPr>
          </w:p>
        </w:tc>
      </w:tr>
    </w:tbl>
    <w:p w:rsidR="009B5CB2" w:rsidRDefault="009B5CB2" w:rsidP="004267DB">
      <w:pPr>
        <w:pStyle w:val="BoxSpaceAbove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  <w:tblDescription w:val="Table used for design: contains a nested table with data/information."/>
      </w:tblPr>
      <w:tblGrid>
        <w:gridCol w:w="8789"/>
      </w:tblGrid>
      <w:tr w:rsidR="009B5CB2" w:rsidTr="00750BE2">
        <w:trPr>
          <w:tblHeader/>
        </w:trPr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9B5CB2" w:rsidRPr="009B5CB2" w:rsidRDefault="009B5CB2" w:rsidP="00CF4ADA">
            <w:pPr>
              <w:pStyle w:val="TableTitle"/>
            </w:pPr>
            <w:r>
              <w:rPr>
                <w:b w:val="0"/>
              </w:rPr>
              <w:t>Table 1</w:t>
            </w:r>
            <w:r>
              <w:tab/>
            </w:r>
            <w:r w:rsidR="00CF4ADA" w:rsidRPr="00CF4ADA">
              <w:rPr>
                <w:rStyle w:val="Continuedintitle"/>
              </w:rPr>
              <w:t>(</w:t>
            </w:r>
            <w:r w:rsidRPr="00CF4ADA">
              <w:rPr>
                <w:rStyle w:val="Continuedintitle"/>
              </w:rPr>
              <w:t>Continued</w:t>
            </w:r>
            <w:r w:rsidR="00CF4ADA" w:rsidRPr="00CF4ADA">
              <w:rPr>
                <w:rStyle w:val="Continuedintitle"/>
              </w:rPr>
              <w:t>)</w:t>
            </w:r>
          </w:p>
        </w:tc>
      </w:tr>
      <w:tr w:rsidR="009B5CB2" w:rsidTr="005B1382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60"/>
              <w:gridCol w:w="5845"/>
            </w:tblGrid>
            <w:tr w:rsidR="009B5CB2" w:rsidTr="00677B06">
              <w:trPr>
                <w:tblHeader/>
              </w:trPr>
              <w:tc>
                <w:tcPr>
                  <w:tcW w:w="1564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9B5CB2" w:rsidRDefault="009B5CB2" w:rsidP="009B5CB2">
                  <w:pPr>
                    <w:pStyle w:val="TableColumnHeading"/>
                    <w:jc w:val="left"/>
                  </w:pPr>
                  <w:r>
                    <w:t>Name</w:t>
                  </w:r>
                </w:p>
              </w:tc>
              <w:tc>
                <w:tcPr>
                  <w:tcW w:w="3436" w:type="pct"/>
                  <w:tcBorders>
                    <w:top w:val="single" w:sz="6" w:space="0" w:color="BFBFBF"/>
                    <w:bottom w:val="single" w:sz="6" w:space="0" w:color="BFBFBF"/>
                  </w:tcBorders>
                </w:tcPr>
                <w:p w:rsidR="009B5CB2" w:rsidRDefault="009B5CB2" w:rsidP="009B5CB2">
                  <w:pPr>
                    <w:pStyle w:val="TableColumnHeading"/>
                    <w:ind w:right="28"/>
                    <w:jc w:val="left"/>
                  </w:pPr>
                  <w:r>
                    <w:t>Description</w:t>
                  </w:r>
                </w:p>
              </w:tc>
            </w:tr>
            <w:tr w:rsidR="00677B06" w:rsidTr="00677B06">
              <w:trPr>
                <w:trHeight w:val="293"/>
              </w:trPr>
              <w:tc>
                <w:tcPr>
                  <w:tcW w:w="5000" w:type="pct"/>
                  <w:gridSpan w:val="2"/>
                  <w:shd w:val="clear" w:color="auto" w:fill="D9D9D9" w:themeFill="background1" w:themeFillShade="D9"/>
                  <w:vAlign w:val="center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Calculated values stored in data frame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POPSHARE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Population share of the State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ADJPOP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Adjusted population of the State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ADJPOPTOT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Total adjusted population (Australia wide)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ADJPOPSHARE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Adjusted population share of the State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r>
                    <w:t>BASELINE</w:t>
                  </w:r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GST payment to the State using the current benchmark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BASELINE_PER_CAPITA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Per capita GST payment to the State using the current benchmark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EPC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GST payment to the State if the pool was distributed equal per capita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EFFECTIVE_REL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 xml:space="preserve">Effective relativity 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ABOVE_STANDARD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Dummy variable equal to 1 if the State has a relativity above the standard (set in line 79) or 0 otherwise.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STANDARD_DEFICIT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 xml:space="preserve">The distance between the State’s effective relativity (using the current benchmark) and the equalisation standard. 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EPC_CONTRIBUTION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 xml:space="preserve">Intermediate step needed for </w:t>
                  </w:r>
                  <w:proofErr w:type="spellStart"/>
                  <w:r>
                    <w:t>SUM_EPC_CONTRIBUTION</w:t>
                  </w:r>
                  <w:proofErr w:type="spellEnd"/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 w:rsidRPr="001F4909">
                    <w:t>SUM_EPC_CONTRIBUTION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 xml:space="preserve">The proportion of the pool to be distributed </w:t>
                  </w:r>
                  <w:proofErr w:type="spellStart"/>
                  <w:r>
                    <w:t>EPC</w:t>
                  </w:r>
                  <w:proofErr w:type="spellEnd"/>
                  <w:r>
                    <w:t xml:space="preserve"> 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 w:rsidRPr="001F4909">
                    <w:t>PER_CAPITA_ETA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 xml:space="preserve">Per-capita GST payment using the new benchmark. For the fiscally strong States (relativity below 1.0), this is its </w:t>
                  </w:r>
                  <w:proofErr w:type="spellStart"/>
                  <w:r>
                    <w:t>EPC</w:t>
                  </w:r>
                  <w:proofErr w:type="spellEnd"/>
                  <w:r>
                    <w:t xml:space="preserve"> payment multiplied by the proportion of the pool to be paid </w:t>
                  </w:r>
                  <w:proofErr w:type="spellStart"/>
                  <w:r>
                    <w:t>EPC</w:t>
                  </w:r>
                  <w:proofErr w:type="spellEnd"/>
                  <w:r>
                    <w:t xml:space="preserve">. For fiscally weak States (relativity above 1.0), this is its </w:t>
                  </w:r>
                  <w:proofErr w:type="spellStart"/>
                  <w:r>
                    <w:t>EPC</w:t>
                  </w:r>
                  <w:proofErr w:type="spellEnd"/>
                  <w:r>
                    <w:t xml:space="preserve"> payment times by the proportion of the pool to be paid </w:t>
                  </w:r>
                  <w:proofErr w:type="spellStart"/>
                  <w:r>
                    <w:t>EPC</w:t>
                  </w:r>
                  <w:proofErr w:type="spellEnd"/>
                  <w:r>
                    <w:t xml:space="preserve">, plus its equalisation payment. 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GST_TOTAL_ETA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Total GST payment (in $ millions)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REL_ETA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Effective relativity under ETA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r>
                    <w:t>POLICY</w:t>
                  </w:r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The transition period length (four year or eight year)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X_YEAR_WEIGHT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ETA weight to be used in that year, according to the transition path contained in POLICY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GST_X_YEAR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Total GST payments under the transition path contained in POLICY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GST_PER_CAPITA_X_YEAR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Per capita GST payments under the transition path contained in POLICY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REL_ETA_X_YEAR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Effective relativity under the transition path contained in POLICY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proofErr w:type="spellStart"/>
                  <w:r>
                    <w:t>CHANGE_GST_X_YEAR</w:t>
                  </w:r>
                  <w:proofErr w:type="spellEnd"/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Change in GST payments ($ million) relative to baseline, under the transition path contained in POLICY</w:t>
                  </w:r>
                </w:p>
              </w:tc>
            </w:tr>
            <w:tr w:rsidR="00677B06" w:rsidTr="00680D14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r>
                    <w:t>PER_CAPITA_CHANGE_GST</w:t>
                  </w:r>
                </w:p>
                <w:p w:rsidR="00677B06" w:rsidRDefault="00677B06" w:rsidP="00677B06">
                  <w:pPr>
                    <w:pStyle w:val="TableBodyText"/>
                    <w:jc w:val="left"/>
                  </w:pPr>
                  <w:r>
                    <w:t>_X_YEAR</w:t>
                  </w:r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Per capita change in GST payments ($) relative to baseline, under the transition path contained in POLICY</w:t>
                  </w:r>
                </w:p>
              </w:tc>
            </w:tr>
            <w:tr w:rsidR="00677B06" w:rsidTr="00680D14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r>
                    <w:t>RATE_OF_CHANGE_X_YEAR</w:t>
                  </w:r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Change in GST payments from year-to-year ($ million), relative to baseline payment, under the transition path contained in POLICY</w:t>
                  </w:r>
                </w:p>
              </w:tc>
            </w:tr>
            <w:tr w:rsidR="00677B06" w:rsidTr="00677B06">
              <w:tc>
                <w:tcPr>
                  <w:tcW w:w="1564" w:type="pct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r>
                    <w:t>PERCENT_CHANGE_X_YEAR</w:t>
                  </w:r>
                </w:p>
              </w:tc>
              <w:tc>
                <w:tcPr>
                  <w:tcW w:w="3436" w:type="pct"/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Change in GST payments relative to baseline payment, under the transition path contained in POLICY, as a proportion of State revenue</w:t>
                  </w:r>
                </w:p>
              </w:tc>
            </w:tr>
            <w:tr w:rsidR="00677B06" w:rsidTr="00677B06">
              <w:tc>
                <w:tcPr>
                  <w:tcW w:w="1564" w:type="pct"/>
                  <w:tcBorders>
                    <w:bottom w:val="single" w:sz="6" w:space="0" w:color="BFBFBF"/>
                  </w:tcBorders>
                  <w:shd w:val="clear" w:color="auto" w:fill="auto"/>
                </w:tcPr>
                <w:p w:rsidR="00677B06" w:rsidRDefault="00677B06" w:rsidP="00677B06">
                  <w:pPr>
                    <w:pStyle w:val="TableBodyText"/>
                    <w:jc w:val="left"/>
                  </w:pPr>
                  <w:r>
                    <w:t>PERCENT_RATE_OF_</w:t>
                  </w:r>
                </w:p>
                <w:p w:rsidR="00677B06" w:rsidRDefault="00677B06" w:rsidP="00677B06">
                  <w:pPr>
                    <w:pStyle w:val="TableBodyText"/>
                    <w:jc w:val="left"/>
                  </w:pPr>
                  <w:r>
                    <w:t>CHANGE_X_YEAR</w:t>
                  </w:r>
                </w:p>
              </w:tc>
              <w:tc>
                <w:tcPr>
                  <w:tcW w:w="3436" w:type="pct"/>
                  <w:tcBorders>
                    <w:bottom w:val="single" w:sz="6" w:space="0" w:color="BFBFBF"/>
                  </w:tcBorders>
                </w:tcPr>
                <w:p w:rsidR="00677B06" w:rsidRDefault="00677B06" w:rsidP="00677B06">
                  <w:pPr>
                    <w:pStyle w:val="TableBodyText"/>
                    <w:ind w:right="28"/>
                    <w:jc w:val="left"/>
                  </w:pPr>
                  <w:r>
                    <w:t>Change in GST payments from year-to-year ($ million), relative to baseline payment, under the transition path contained in POLICY, as a proportion of total State revenue</w:t>
                  </w:r>
                </w:p>
              </w:tc>
            </w:tr>
          </w:tbl>
          <w:p w:rsidR="009B5CB2" w:rsidRDefault="009B5CB2" w:rsidP="00846637">
            <w:pPr>
              <w:pStyle w:val="Box"/>
            </w:pPr>
          </w:p>
        </w:tc>
      </w:tr>
      <w:tr w:rsidR="009B5CB2" w:rsidTr="005B1382">
        <w:tc>
          <w:tcPr>
            <w:tcW w:w="5000" w:type="pct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9B5CB2" w:rsidRDefault="009B5CB2" w:rsidP="00846637">
            <w:pPr>
              <w:pStyle w:val="Box"/>
              <w:spacing w:before="0" w:line="120" w:lineRule="exact"/>
            </w:pPr>
          </w:p>
        </w:tc>
      </w:tr>
      <w:tr w:rsidR="009B5CB2" w:rsidRPr="000863A5" w:rsidTr="005B1382">
        <w:tc>
          <w:tcPr>
            <w:tcW w:w="5000" w:type="pct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9B5CB2" w:rsidRPr="00626D32" w:rsidRDefault="009B5CB2" w:rsidP="00784A05">
            <w:pPr>
              <w:pStyle w:val="BoxSpaceBelow"/>
            </w:pPr>
          </w:p>
        </w:tc>
      </w:tr>
    </w:tbl>
    <w:p w:rsidR="00D434A0" w:rsidRDefault="00D434A0" w:rsidP="00677B06">
      <w:pPr>
        <w:pStyle w:val="BodyText"/>
      </w:pPr>
    </w:p>
    <w:sectPr w:rsidR="00D434A0" w:rsidSect="008A57F3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985" w:right="1304" w:bottom="1247" w:left="1814" w:header="1701" w:footer="397" w:gutter="0"/>
      <w:pgNumType w:start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92E" w:rsidRDefault="00EA292E">
      <w:r>
        <w:separator/>
      </w:r>
    </w:p>
  </w:endnote>
  <w:endnote w:type="continuationSeparator" w:id="0">
    <w:p w:rsidR="00EA292E" w:rsidRDefault="00EA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Pr="00A24443" w:rsidRDefault="00680D14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>
            <w:rPr>
              <w:rStyle w:val="PageNumber"/>
              <w:caps w:val="0"/>
              <w:noProof/>
            </w:rPr>
            <w:t>2</w:t>
          </w:r>
        </w:p>
      </w:tc>
      <w:tc>
        <w:tcPr>
          <w:tcW w:w="7767" w:type="dxa"/>
        </w:tcPr>
        <w:p w:rsidR="00772909" w:rsidRPr="0013739A" w:rsidRDefault="00EA292E" w:rsidP="0013739A">
          <w:pPr>
            <w:pStyle w:val="Footer"/>
            <w:rPr>
              <w:rFonts w:cs="Arial"/>
            </w:rPr>
          </w:pPr>
          <w:r>
            <w:rPr>
              <w:rFonts w:cs="Arial"/>
            </w:rPr>
            <w:t>Additional material</w:t>
          </w:r>
          <w:bookmarkStart w:id="3" w:name="DraftReportEven"/>
          <w:bookmarkEnd w:id="3"/>
        </w:p>
      </w:tc>
      <w:tc>
        <w:tcPr>
          <w:tcW w:w="510" w:type="dxa"/>
        </w:tcPr>
        <w:p w:rsidR="00772909" w:rsidRDefault="00772909" w:rsidP="0019293B">
          <w:pPr>
            <w:pStyle w:val="Footer"/>
          </w:pPr>
        </w:p>
      </w:tc>
    </w:tr>
  </w:tbl>
  <w:p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677B06" w:rsidTr="005F48ED">
      <w:trPr>
        <w:trHeight w:hRule="exact" w:val="567"/>
      </w:trPr>
      <w:tc>
        <w:tcPr>
          <w:tcW w:w="510" w:type="dxa"/>
        </w:tcPr>
        <w:p w:rsidR="00677B06" w:rsidRDefault="00677B06">
          <w:pPr>
            <w:pStyle w:val="Footer"/>
            <w:ind w:right="360" w:firstLine="360"/>
          </w:pPr>
        </w:p>
      </w:tc>
      <w:tc>
        <w:tcPr>
          <w:tcW w:w="7767" w:type="dxa"/>
        </w:tcPr>
        <w:p w:rsidR="00677B06" w:rsidRPr="00BA5B14" w:rsidRDefault="00677B06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>
            <w:rPr>
              <w:rFonts w:cs="Arial"/>
            </w:rPr>
            <w:t>Transition code notes</w:t>
          </w:r>
          <w:r w:rsidRPr="00BA5B14">
            <w:rPr>
              <w:rFonts w:cs="Arial"/>
            </w:rPr>
            <w:fldChar w:fldCharType="end"/>
          </w:r>
        </w:p>
      </w:tc>
      <w:tc>
        <w:tcPr>
          <w:tcW w:w="510" w:type="dxa"/>
        </w:tcPr>
        <w:p w:rsidR="00677B06" w:rsidRPr="00A24443" w:rsidRDefault="00677B06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>
            <w:rPr>
              <w:rStyle w:val="PageNumber"/>
              <w:caps w:val="0"/>
              <w:noProof/>
            </w:rPr>
            <w:t>3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677B06" w:rsidRDefault="00677B06">
    <w:pPr>
      <w:pStyle w:val="FooterEnd"/>
    </w:pPr>
  </w:p>
  <w:p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92E" w:rsidRDefault="00EA292E">
      <w:r>
        <w:separator/>
      </w:r>
    </w:p>
  </w:footnote>
  <w:footnote w:type="continuationSeparator" w:id="0">
    <w:p w:rsidR="00EA292E" w:rsidRDefault="00EA2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772909" w:rsidRDefault="00772909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 w15:restartNumberingAfterBreak="0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 w15:restartNumberingAfterBreak="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 w15:restartNumberingAfterBreak="0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4" w15:restartNumberingAfterBreak="0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5" w15:restartNumberingAfterBreak="0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6" w15:restartNumberingAfterBreak="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9" w15:restartNumberingAfterBreak="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0" w15:restartNumberingAfterBreak="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3"/>
  </w:num>
  <w:num w:numId="5">
    <w:abstractNumId w:val="18"/>
  </w:num>
  <w:num w:numId="6">
    <w:abstractNumId w:val="15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6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7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indingOptions" w:val="1"/>
    <w:docVar w:name="RecOptions" w:val="111"/>
    <w:docVar w:name="ShortChapterTitle" w:val="Transition code notes"/>
    <w:docVar w:name="ShortReportTitle" w:val="Additional material"/>
  </w:docVars>
  <w:rsids>
    <w:rsidRoot w:val="00EA292E"/>
    <w:rsid w:val="000227D5"/>
    <w:rsid w:val="000245AA"/>
    <w:rsid w:val="0003664B"/>
    <w:rsid w:val="0004111F"/>
    <w:rsid w:val="00055077"/>
    <w:rsid w:val="000565B3"/>
    <w:rsid w:val="0007150B"/>
    <w:rsid w:val="000938F5"/>
    <w:rsid w:val="00095663"/>
    <w:rsid w:val="00096E55"/>
    <w:rsid w:val="0009783E"/>
    <w:rsid w:val="000B1022"/>
    <w:rsid w:val="000B601B"/>
    <w:rsid w:val="000C207E"/>
    <w:rsid w:val="000D1679"/>
    <w:rsid w:val="000D41E9"/>
    <w:rsid w:val="000F0035"/>
    <w:rsid w:val="000F04E7"/>
    <w:rsid w:val="000F060A"/>
    <w:rsid w:val="000F420B"/>
    <w:rsid w:val="000F539C"/>
    <w:rsid w:val="00110116"/>
    <w:rsid w:val="00120072"/>
    <w:rsid w:val="00126EB8"/>
    <w:rsid w:val="001274D4"/>
    <w:rsid w:val="001363AA"/>
    <w:rsid w:val="0013739A"/>
    <w:rsid w:val="00142165"/>
    <w:rsid w:val="00162434"/>
    <w:rsid w:val="00183E82"/>
    <w:rsid w:val="001878BB"/>
    <w:rsid w:val="00191AE0"/>
    <w:rsid w:val="0019293B"/>
    <w:rsid w:val="0019426B"/>
    <w:rsid w:val="001A6A4B"/>
    <w:rsid w:val="001C0865"/>
    <w:rsid w:val="001C0AED"/>
    <w:rsid w:val="001C3ABA"/>
    <w:rsid w:val="001C5111"/>
    <w:rsid w:val="001E7BE8"/>
    <w:rsid w:val="001F0248"/>
    <w:rsid w:val="001F3EB3"/>
    <w:rsid w:val="001F4909"/>
    <w:rsid w:val="001F4F86"/>
    <w:rsid w:val="00202C2C"/>
    <w:rsid w:val="00203050"/>
    <w:rsid w:val="002135AB"/>
    <w:rsid w:val="002144BE"/>
    <w:rsid w:val="00221074"/>
    <w:rsid w:val="002320B8"/>
    <w:rsid w:val="00242279"/>
    <w:rsid w:val="00243997"/>
    <w:rsid w:val="0024516C"/>
    <w:rsid w:val="00245C82"/>
    <w:rsid w:val="002724BA"/>
    <w:rsid w:val="002861A3"/>
    <w:rsid w:val="00287F34"/>
    <w:rsid w:val="00291B40"/>
    <w:rsid w:val="002B4008"/>
    <w:rsid w:val="002C439F"/>
    <w:rsid w:val="002C5A8C"/>
    <w:rsid w:val="002C6BBC"/>
    <w:rsid w:val="002D0C42"/>
    <w:rsid w:val="002D0E8E"/>
    <w:rsid w:val="00301189"/>
    <w:rsid w:val="00301E4A"/>
    <w:rsid w:val="003168B8"/>
    <w:rsid w:val="00322D64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77EC1"/>
    <w:rsid w:val="00380340"/>
    <w:rsid w:val="00381A9D"/>
    <w:rsid w:val="003919F9"/>
    <w:rsid w:val="003920CF"/>
    <w:rsid w:val="003B23C2"/>
    <w:rsid w:val="003C38B5"/>
    <w:rsid w:val="003C5D99"/>
    <w:rsid w:val="003D1087"/>
    <w:rsid w:val="003E2F59"/>
    <w:rsid w:val="003E746B"/>
    <w:rsid w:val="003F0789"/>
    <w:rsid w:val="00401882"/>
    <w:rsid w:val="004100C8"/>
    <w:rsid w:val="00411DBD"/>
    <w:rsid w:val="00412ACE"/>
    <w:rsid w:val="004145D2"/>
    <w:rsid w:val="00425128"/>
    <w:rsid w:val="00426CB4"/>
    <w:rsid w:val="00431249"/>
    <w:rsid w:val="00434C19"/>
    <w:rsid w:val="00450810"/>
    <w:rsid w:val="00460F20"/>
    <w:rsid w:val="00462C59"/>
    <w:rsid w:val="00470737"/>
    <w:rsid w:val="00477144"/>
    <w:rsid w:val="00491380"/>
    <w:rsid w:val="0049459F"/>
    <w:rsid w:val="004A38DD"/>
    <w:rsid w:val="004B1EC9"/>
    <w:rsid w:val="004B43AE"/>
    <w:rsid w:val="004C30ED"/>
    <w:rsid w:val="004D5675"/>
    <w:rsid w:val="0051306E"/>
    <w:rsid w:val="00517795"/>
    <w:rsid w:val="00523639"/>
    <w:rsid w:val="00531FE5"/>
    <w:rsid w:val="005402FA"/>
    <w:rsid w:val="00541E1A"/>
    <w:rsid w:val="005729BD"/>
    <w:rsid w:val="00573437"/>
    <w:rsid w:val="00573BE3"/>
    <w:rsid w:val="00580088"/>
    <w:rsid w:val="00580154"/>
    <w:rsid w:val="00583C39"/>
    <w:rsid w:val="00586A90"/>
    <w:rsid w:val="00587F28"/>
    <w:rsid w:val="005909CF"/>
    <w:rsid w:val="00591E71"/>
    <w:rsid w:val="00596A99"/>
    <w:rsid w:val="005A0D41"/>
    <w:rsid w:val="005B72D7"/>
    <w:rsid w:val="005D329F"/>
    <w:rsid w:val="005F48ED"/>
    <w:rsid w:val="00606E78"/>
    <w:rsid w:val="00607BF1"/>
    <w:rsid w:val="00630D4D"/>
    <w:rsid w:val="00632A74"/>
    <w:rsid w:val="00635177"/>
    <w:rsid w:val="00645539"/>
    <w:rsid w:val="00654D42"/>
    <w:rsid w:val="00661196"/>
    <w:rsid w:val="00666E02"/>
    <w:rsid w:val="0067345D"/>
    <w:rsid w:val="00677B06"/>
    <w:rsid w:val="00680D14"/>
    <w:rsid w:val="006A3422"/>
    <w:rsid w:val="006A4655"/>
    <w:rsid w:val="006B2B3C"/>
    <w:rsid w:val="006B75F9"/>
    <w:rsid w:val="006C1D81"/>
    <w:rsid w:val="006C7038"/>
    <w:rsid w:val="006E73EF"/>
    <w:rsid w:val="007079C9"/>
    <w:rsid w:val="00714D4D"/>
    <w:rsid w:val="00723F8F"/>
    <w:rsid w:val="007266D3"/>
    <w:rsid w:val="00731891"/>
    <w:rsid w:val="00732029"/>
    <w:rsid w:val="007604BB"/>
    <w:rsid w:val="00772909"/>
    <w:rsid w:val="007801F8"/>
    <w:rsid w:val="00785232"/>
    <w:rsid w:val="0079701E"/>
    <w:rsid w:val="007A21EB"/>
    <w:rsid w:val="007B1A93"/>
    <w:rsid w:val="007C36C9"/>
    <w:rsid w:val="007D13F5"/>
    <w:rsid w:val="007D6401"/>
    <w:rsid w:val="007E01E4"/>
    <w:rsid w:val="007E7A12"/>
    <w:rsid w:val="007F7107"/>
    <w:rsid w:val="00800D4C"/>
    <w:rsid w:val="0081030F"/>
    <w:rsid w:val="00812F4A"/>
    <w:rsid w:val="0082087D"/>
    <w:rsid w:val="00835771"/>
    <w:rsid w:val="00842933"/>
    <w:rsid w:val="0086082C"/>
    <w:rsid w:val="00864ADC"/>
    <w:rsid w:val="00875B4A"/>
    <w:rsid w:val="00880153"/>
    <w:rsid w:val="00880F97"/>
    <w:rsid w:val="0088133A"/>
    <w:rsid w:val="0089285E"/>
    <w:rsid w:val="0089436C"/>
    <w:rsid w:val="008A57F3"/>
    <w:rsid w:val="008D365C"/>
    <w:rsid w:val="008D7622"/>
    <w:rsid w:val="009021A6"/>
    <w:rsid w:val="009030BF"/>
    <w:rsid w:val="00903B52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CD3"/>
    <w:rsid w:val="00990C2C"/>
    <w:rsid w:val="009A5171"/>
    <w:rsid w:val="009B5CB2"/>
    <w:rsid w:val="009E1844"/>
    <w:rsid w:val="009F0D1B"/>
    <w:rsid w:val="009F53DD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51DC"/>
    <w:rsid w:val="00A554AB"/>
    <w:rsid w:val="00A57062"/>
    <w:rsid w:val="00A67781"/>
    <w:rsid w:val="00A761F9"/>
    <w:rsid w:val="00A92B53"/>
    <w:rsid w:val="00A94FA6"/>
    <w:rsid w:val="00AA49A0"/>
    <w:rsid w:val="00AA6710"/>
    <w:rsid w:val="00AB0681"/>
    <w:rsid w:val="00AC3A15"/>
    <w:rsid w:val="00AD520B"/>
    <w:rsid w:val="00AE3BCC"/>
    <w:rsid w:val="00B425C3"/>
    <w:rsid w:val="00B4373D"/>
    <w:rsid w:val="00B440AD"/>
    <w:rsid w:val="00B479BB"/>
    <w:rsid w:val="00B53E7E"/>
    <w:rsid w:val="00B6342E"/>
    <w:rsid w:val="00B7113F"/>
    <w:rsid w:val="00BA2BCF"/>
    <w:rsid w:val="00BA5B14"/>
    <w:rsid w:val="00BA73B6"/>
    <w:rsid w:val="00BA7E27"/>
    <w:rsid w:val="00BB2603"/>
    <w:rsid w:val="00BB4FCD"/>
    <w:rsid w:val="00BC04E9"/>
    <w:rsid w:val="00BD13EA"/>
    <w:rsid w:val="00BD1B4D"/>
    <w:rsid w:val="00BE3808"/>
    <w:rsid w:val="00C03B88"/>
    <w:rsid w:val="00C062E9"/>
    <w:rsid w:val="00C069AA"/>
    <w:rsid w:val="00C07B64"/>
    <w:rsid w:val="00C13721"/>
    <w:rsid w:val="00C14FE4"/>
    <w:rsid w:val="00C3066D"/>
    <w:rsid w:val="00C52416"/>
    <w:rsid w:val="00C543F4"/>
    <w:rsid w:val="00C6291C"/>
    <w:rsid w:val="00C633CB"/>
    <w:rsid w:val="00C664CD"/>
    <w:rsid w:val="00C736B7"/>
    <w:rsid w:val="00C74570"/>
    <w:rsid w:val="00C81D4A"/>
    <w:rsid w:val="00C8762C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F3B11"/>
    <w:rsid w:val="00CF47F6"/>
    <w:rsid w:val="00CF4ADA"/>
    <w:rsid w:val="00D270A4"/>
    <w:rsid w:val="00D31FE9"/>
    <w:rsid w:val="00D34E1B"/>
    <w:rsid w:val="00D376BA"/>
    <w:rsid w:val="00D434A0"/>
    <w:rsid w:val="00D45634"/>
    <w:rsid w:val="00D5568A"/>
    <w:rsid w:val="00D63D73"/>
    <w:rsid w:val="00D64452"/>
    <w:rsid w:val="00D66E1E"/>
    <w:rsid w:val="00D70696"/>
    <w:rsid w:val="00D75722"/>
    <w:rsid w:val="00D80CF5"/>
    <w:rsid w:val="00D85A4B"/>
    <w:rsid w:val="00DA5BBA"/>
    <w:rsid w:val="00DB26D2"/>
    <w:rsid w:val="00DB67C9"/>
    <w:rsid w:val="00DC0C95"/>
    <w:rsid w:val="00DC3848"/>
    <w:rsid w:val="00DC4F0B"/>
    <w:rsid w:val="00DD6580"/>
    <w:rsid w:val="00DE74CF"/>
    <w:rsid w:val="00E01D7F"/>
    <w:rsid w:val="00E03588"/>
    <w:rsid w:val="00E05C03"/>
    <w:rsid w:val="00E17C72"/>
    <w:rsid w:val="00E21FC6"/>
    <w:rsid w:val="00E431A9"/>
    <w:rsid w:val="00E47E1E"/>
    <w:rsid w:val="00E669E2"/>
    <w:rsid w:val="00E76135"/>
    <w:rsid w:val="00E82F4F"/>
    <w:rsid w:val="00E864DF"/>
    <w:rsid w:val="00EA08BC"/>
    <w:rsid w:val="00EA292E"/>
    <w:rsid w:val="00EB2CC3"/>
    <w:rsid w:val="00EC2844"/>
    <w:rsid w:val="00EC5500"/>
    <w:rsid w:val="00ED18F8"/>
    <w:rsid w:val="00EE6EDA"/>
    <w:rsid w:val="00EE778E"/>
    <w:rsid w:val="00EF6719"/>
    <w:rsid w:val="00EF6C6C"/>
    <w:rsid w:val="00F056FC"/>
    <w:rsid w:val="00F0632F"/>
    <w:rsid w:val="00F069AE"/>
    <w:rsid w:val="00F10476"/>
    <w:rsid w:val="00F135D8"/>
    <w:rsid w:val="00F31299"/>
    <w:rsid w:val="00F3534A"/>
    <w:rsid w:val="00F35BFB"/>
    <w:rsid w:val="00F36ACC"/>
    <w:rsid w:val="00F51609"/>
    <w:rsid w:val="00F55C25"/>
    <w:rsid w:val="00F73727"/>
    <w:rsid w:val="00F766A7"/>
    <w:rsid w:val="00F81006"/>
    <w:rsid w:val="00F85325"/>
    <w:rsid w:val="00FA373A"/>
    <w:rsid w:val="00FD1DD1"/>
    <w:rsid w:val="00FD22B1"/>
    <w:rsid w:val="00FD33F1"/>
    <w:rsid w:val="00FD3566"/>
    <w:rsid w:val="00FE3C71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566A007F-3536-4A1B-891C-6F625994B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73BE3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customStyle="1" w:styleId="Continuedintitle">
    <w:name w:val="Continued (in title)"/>
    <w:basedOn w:val="DefaultParagraphFont"/>
    <w:rsid w:val="00573BE3"/>
    <w:rPr>
      <w:rFonts w:ascii="Arial" w:hAnsi="Arial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3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themeNew">
      <a:dk1>
        <a:sysClr val="windowText" lastClr="000000"/>
      </a:dk1>
      <a:lt1>
        <a:sysClr val="window" lastClr="FFFFFF"/>
      </a:lt1>
      <a:dk2>
        <a:srgbClr val="66BCDB"/>
      </a:dk2>
      <a:lt2>
        <a:srgbClr val="265A9A"/>
      </a:lt2>
      <a:accent1>
        <a:srgbClr val="78A22F"/>
      </a:accent1>
      <a:accent2>
        <a:srgbClr val="4D7028"/>
      </a:accent2>
      <a:accent3>
        <a:srgbClr val="F4B123"/>
      </a:accent3>
      <a:accent4>
        <a:srgbClr val="F15A25"/>
      </a:accent4>
      <a:accent5>
        <a:srgbClr val="A52828"/>
      </a:accent5>
      <a:accent6>
        <a:srgbClr val="8956A3"/>
      </a:accent6>
      <a:hlink>
        <a:srgbClr val="000000"/>
      </a:hlink>
      <a:folHlink>
        <a:srgbClr val="BFBFBF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FA19B-BA07-4F3B-A53F-392114252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45</TotalTime>
  <Pages>3</Pages>
  <Words>1012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Transition code notes</vt:lpstr>
    </vt:vector>
  </TitlesOfParts>
  <Company>Productivity Commission</Company>
  <LinksUpToDate>false</LinksUpToDate>
  <CharactersWithSpaces>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Transition code notes</dc:title>
  <dc:subject>Additional material</dc:subject>
  <dc:creator>Productivity Commission</dc:creator>
  <cp:keywords/>
  <dc:description>1.</dc:description>
  <cp:lastModifiedBy>Leahan, Rebecca</cp:lastModifiedBy>
  <cp:revision>5</cp:revision>
  <cp:lastPrinted>2014-07-13T11:30:00Z</cp:lastPrinted>
  <dcterms:created xsi:type="dcterms:W3CDTF">2018-07-19T00:19:00Z</dcterms:created>
  <dcterms:modified xsi:type="dcterms:W3CDTF">2018-07-19T01:03:00Z</dcterms:modified>
</cp:coreProperties>
</file>